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05-</w:t>
      </w:r>
      <w:r>
        <w:rPr>
          <w:rFonts w:ascii="Times New Roman" w:eastAsia="Times New Roman" w:hAnsi="Times New Roman" w:cs="Times New Roman"/>
          <w:sz w:val="27"/>
          <w:szCs w:val="27"/>
        </w:rPr>
        <w:t>397</w:t>
      </w:r>
      <w:r>
        <w:rPr>
          <w:rFonts w:ascii="Times New Roman" w:eastAsia="Times New Roman" w:hAnsi="Times New Roman" w:cs="Times New Roman"/>
          <w:sz w:val="27"/>
          <w:szCs w:val="27"/>
        </w:rPr>
        <w:t>-2613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ород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Д.Б., находящийся по адресу: 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502,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дело об административном правонарушении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отношении должностного лица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Дмитриевича, </w:t>
      </w:r>
      <w:r>
        <w:rPr>
          <w:rStyle w:val="cat-UserDefinedgrp-25rplc-10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генеральный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Style w:val="cat-UserDefinedgrp-24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23, п. 5 ст. 174 Налогового кодекса Российской Федерации, деклараци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налогу на добавленную стоимость за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квартал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представления декларации по налогу на добавленную стоимость 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фактическая дата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t>сведений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28.10.2025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тем самым </w:t>
      </w: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правонарушение, за которое предусмотрено ответственность статьей 15.5 Кодекса РФ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времени и месте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извещен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надлежащим образом судебной повесткой, направленной заказным пи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сьмом с уведомлением о вручении, в судебное заседание не </w:t>
      </w:r>
      <w:r>
        <w:rPr>
          <w:rFonts w:ascii="Times New Roman" w:eastAsia="Times New Roman" w:hAnsi="Times New Roman" w:cs="Times New Roman"/>
          <w:sz w:val="27"/>
          <w:szCs w:val="27"/>
        </w:rPr>
        <w:t>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</w:t>
      </w:r>
      <w:r>
        <w:rPr>
          <w:rFonts w:ascii="Times New Roman" w:eastAsia="Times New Roman" w:hAnsi="Times New Roman" w:cs="Times New Roman"/>
          <w:sz w:val="27"/>
          <w:szCs w:val="27"/>
        </w:rPr>
        <w:t>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54 ГК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 общества: </w:t>
      </w:r>
      <w:r>
        <w:rPr>
          <w:rStyle w:val="cat-UserDefinedgrp-26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5 ст. 174 НК РФ, налогоплательщики (в том числе являющиеся налоговыми агентами), а также лица, указанные в пункте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статьи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173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26332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котором изложено существо правонарушения и составленным в соответствии с требованиями КоАП РФ; выпиской из Единого государственного реестра юридических лиц; </w:t>
      </w:r>
      <w:r>
        <w:rPr>
          <w:rFonts w:ascii="Times New Roman" w:eastAsia="Times New Roman" w:hAnsi="Times New Roman" w:cs="Times New Roman"/>
          <w:sz w:val="27"/>
          <w:szCs w:val="27"/>
        </w:rPr>
        <w:t>справкой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</w:rPr>
        <w:t>не предоставлении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декларации по НДС за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квартал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года;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своевременное представление налоговой и бухгалтерской (финансовой) отчетности с приложением документов, подтверждающих данные полномочия, оставленным без ответа и другими материалами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прихожу к выводу о том, что действия 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наказание в виде предупреждения.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6">
    <w:name w:val="cat-UserDefined grp-24 rplc-6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6rplc-29">
    <w:name w:val="cat-UserDefined grp-26 rplc-29"/>
    <w:basedOn w:val="DefaultParagraphFont"/>
  </w:style>
  <w:style w:type="character" w:customStyle="1" w:styleId="cat-UserDefinedgrp-24rplc-34">
    <w:name w:val="cat-UserDefined grp-24 rplc-34"/>
    <w:basedOn w:val="DefaultParagraphFont"/>
  </w:style>
  <w:style w:type="character" w:customStyle="1" w:styleId="cat-UserDefinedgrp-24rplc-37">
    <w:name w:val="cat-UserDefined grp-24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