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1176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02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09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Бордунов М.Б.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ХМАО-Югра, г. Сургут, ул. Гагарина д. 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2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т. 15.33.2 КоАП РФ,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Юрия Викторовича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7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21.05.2026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являясь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исполнительны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директор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8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телекоммуникационным каналам связи представил в Отделение фонда пенсионного и социального страхования Российской Федерации по ХМАО-Югре сведения о </w:t>
      </w:r>
      <w:r>
        <w:rPr>
          <w:rFonts w:ascii="Times New Roman" w:eastAsia="Times New Roman" w:hAnsi="Times New Roman" w:cs="Times New Roman"/>
          <w:sz w:val="26"/>
          <w:szCs w:val="26"/>
        </w:rPr>
        <w:t>застрахованн</w:t>
      </w:r>
      <w:r>
        <w:rPr>
          <w:rFonts w:ascii="Times New Roman" w:eastAsia="Times New Roman" w:hAnsi="Times New Roman" w:cs="Times New Roman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eastAsia="Times New Roman" w:hAnsi="Times New Roman" w:cs="Times New Roman"/>
          <w:sz w:val="26"/>
          <w:szCs w:val="26"/>
        </w:rPr>
        <w:t>ах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форме сведений (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-1 </w:t>
      </w:r>
      <w:r>
        <w:rPr>
          <w:rFonts w:ascii="Times New Roman" w:eastAsia="Times New Roman" w:hAnsi="Times New Roman" w:cs="Times New Roman"/>
          <w:sz w:val="26"/>
          <w:szCs w:val="26"/>
        </w:rPr>
        <w:t>ГПД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обращение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>-1-226-008515548</w:t>
      </w:r>
      <w:r>
        <w:rPr>
          <w:rFonts w:ascii="Times New Roman" w:eastAsia="Times New Roman" w:hAnsi="Times New Roman" w:cs="Times New Roman"/>
          <w:sz w:val="26"/>
          <w:szCs w:val="26"/>
        </w:rPr>
        <w:t>, срок предоставления которого не позднее рабочего дня, следующего за днем заключения с застрахованным лицом соответствующего договора, а в случае прекращения договора, не позднее рабочего дня, следующего за днем его прекращения. Период, за который должен быть представлен отчет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отсутствует в представленных сведениях.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застрахованн</w:t>
      </w:r>
      <w:r>
        <w:rPr>
          <w:rFonts w:ascii="Times New Roman" w:eastAsia="Times New Roman" w:hAnsi="Times New Roman" w:cs="Times New Roman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выявлено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tbl>
      <w:tblPr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1807"/>
        <w:gridCol w:w="1842"/>
        <w:gridCol w:w="1416"/>
        <w:gridCol w:w="3411"/>
      </w:tblGrid>
      <w:tr>
        <w:tblPrEx>
          <w:tblInd w:w="116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№ п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п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СНИЛС</w:t>
            </w:r>
          </w:p>
        </w:tc>
        <w:tc>
          <w:tcPr>
            <w:tcW w:w="2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Код КМ ДГПХ</w:t>
            </w:r>
          </w:p>
        </w:tc>
        <w:tc>
          <w:tcPr>
            <w:tcW w:w="1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начала/</w:t>
            </w:r>
          </w:p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окончания договора ГПХ</w:t>
            </w:r>
          </w:p>
        </w:tc>
        <w:tc>
          <w:tcPr>
            <w:tcW w:w="3195" w:type="dxa"/>
            <w:tcBorders>
              <w:left w:val="single" w:sz="6" w:space="0" w:color="000000"/>
              <w:bottom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Дата и время совершения правонарушения</w:t>
            </w:r>
          </w:p>
        </w:tc>
      </w:tr>
      <w:tr>
        <w:tblPrEx>
          <w:tblInd w:w="116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1" w:type="dxa"/>
            <w:tcBorders>
              <w:top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Style w:val="cat-UserDefinedgrp-39rplc-19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...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ГПХ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28.04.2026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8" w:type="dxa"/>
              <w:left w:w="108" w:type="dxa"/>
              <w:bottom w:w="8" w:type="dxa"/>
              <w:right w:w="108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30.04.2026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00 час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01мин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.</w:t>
            </w:r>
          </w:p>
        </w:tc>
      </w:tr>
    </w:tbl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не явился, извещен надлежащим образом, о причинах неявки суд не уведомил, ходатайств не заявлял. Суд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суду представлены следующие доказательства: протокол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3241/2026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06.07.2026;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</w:t>
      </w:r>
      <w:r>
        <w:rPr>
          <w:rFonts w:ascii="Times New Roman" w:eastAsia="Times New Roman" w:hAnsi="Times New Roman" w:cs="Times New Roman"/>
          <w:sz w:val="26"/>
          <w:szCs w:val="26"/>
        </w:rPr>
        <w:t>акт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с приложением; сведения о застрахованных лицах; выписка из ЕГРЮЛ; уведомление о составлении протокола об административном правонарушении; список почтовых отправлений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другие материалы дела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Тропина С.В.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99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6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сведения, указанные в </w:t>
      </w:r>
      <w:hyperlink r:id="rId4" w:anchor="/document/10106192/entry/112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подпункте 5 пункта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10106192/entry/1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застрахованным лицом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соответствующего договора, а в случае прекращения договора не позднее рабочего дня, следующего за днем его прекращения.</w:t>
      </w:r>
    </w:p>
    <w:p>
      <w:pPr>
        <w:spacing w:before="0" w:after="0"/>
        <w:ind w:firstLine="99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 5 п.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страхования и обязательного социального страхования",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сведения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 налогах и сборах начисляются </w:t>
      </w:r>
      <w:hyperlink r:id="rId4" w:anchor="/document/10106192/entry/10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страховые взносы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 и периоды выполнения работ (оказания услуг) по таким договорам.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ст.15.33.2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частью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4.2, 4.3 КоАП РФ,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Оснований для признания совершенного административного правонарушения малозначительным и, соответственно, освобождения от административной ответственности с применением положений ст. 2.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не имеется, поскольку не установлено исключительных обстоятельств, свидетельствующих о наличии предусмотренных указанной нормой признаков малозначительности административного правонарушения, принимая при этом во внимание значимость охраняемых отношений и конкретные обстоятельства совершения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Принимая во внимание, что положениями КоАП РФ установлена административная ответственность за сам факт нарушения срока предоставления 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содеянное не может расцениваться как малозначительное деяние, так как оно полностью соответствует объективной стороне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вышеизложенного,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Варенюк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Юрия Викторовича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15.33.2 КоАП РФ и назначить наказание в виде административного штрафа в размере 300 (трехсот)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перечислять по следующим реквизитам: Банк получателя </w:t>
      </w:r>
      <w:r>
        <w:rPr>
          <w:rFonts w:ascii="Times New Roman" w:eastAsia="Times New Roman" w:hAnsi="Times New Roman" w:cs="Times New Roman"/>
          <w:sz w:val="26"/>
          <w:szCs w:val="26"/>
        </w:rPr>
        <w:t>ОКЦ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№8 Уральского </w:t>
      </w:r>
      <w:r>
        <w:rPr>
          <w:rFonts w:ascii="Times New Roman" w:eastAsia="Times New Roman" w:hAnsi="Times New Roman" w:cs="Times New Roman"/>
          <w:sz w:val="26"/>
          <w:szCs w:val="26"/>
        </w:rPr>
        <w:t>ГУ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Банка России //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г. Ханты – </w:t>
      </w:r>
      <w:r>
        <w:rPr>
          <w:rFonts w:ascii="Times New Roman" w:eastAsia="Times New Roman" w:hAnsi="Times New Roman" w:cs="Times New Roman"/>
          <w:sz w:val="26"/>
          <w:szCs w:val="26"/>
        </w:rPr>
        <w:t>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Получатель: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(</w:t>
      </w:r>
      <w:r>
        <w:rPr>
          <w:rFonts w:ascii="Times New Roman" w:eastAsia="Times New Roman" w:hAnsi="Times New Roman" w:cs="Times New Roman"/>
          <w:sz w:val="26"/>
          <w:szCs w:val="26"/>
        </w:rPr>
        <w:t>ОСФР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-Югре, л/с </w:t>
      </w:r>
      <w:r>
        <w:rPr>
          <w:rFonts w:ascii="Times New Roman" w:eastAsia="Times New Roman" w:hAnsi="Times New Roman" w:cs="Times New Roman"/>
          <w:sz w:val="26"/>
          <w:szCs w:val="26"/>
        </w:rPr>
        <w:t>04874Ф87010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N 40102810245370000007, ИНН 8601002078, </w:t>
      </w:r>
      <w:r>
        <w:rPr>
          <w:rFonts w:ascii="Times New Roman" w:eastAsia="Times New Roman" w:hAnsi="Times New Roman" w:cs="Times New Roman"/>
          <w:sz w:val="26"/>
          <w:szCs w:val="26"/>
        </w:rPr>
        <w:t>КПП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860101001, </w:t>
      </w:r>
      <w:r>
        <w:rPr>
          <w:rFonts w:ascii="Times New Roman" w:eastAsia="Times New Roman" w:hAnsi="Times New Roman" w:cs="Times New Roman"/>
          <w:sz w:val="26"/>
          <w:szCs w:val="26"/>
        </w:rPr>
        <w:t>БИК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007162163, </w:t>
      </w:r>
      <w:r>
        <w:rPr>
          <w:rFonts w:ascii="Times New Roman" w:eastAsia="Times New Roman" w:hAnsi="Times New Roman" w:cs="Times New Roman"/>
          <w:sz w:val="26"/>
          <w:szCs w:val="26"/>
        </w:rPr>
        <w:t>ОКТМО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71876000 (город Сургут), р/счет - 03100643000000018700,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>КБК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79711601230060001140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79702700000000443</w:t>
      </w:r>
      <w:r>
        <w:rPr>
          <w:rFonts w:ascii="Times New Roman" w:eastAsia="Times New Roman" w:hAnsi="Times New Roman" w:cs="Times New Roman"/>
          <w:sz w:val="26"/>
          <w:szCs w:val="26"/>
        </w:rPr>
        <w:t>211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квитанции предоставляется в каб.10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дома 9 по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дней с момента вступления постановления в законную силу, влечет административную ответствен</w:t>
      </w:r>
      <w:r>
        <w:rPr>
          <w:rFonts w:ascii="Times New Roman" w:eastAsia="Times New Roman" w:hAnsi="Times New Roman" w:cs="Times New Roman"/>
          <w:sz w:val="26"/>
          <w:szCs w:val="26"/>
        </w:rPr>
        <w:t>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</w:t>
      </w:r>
      <w:r>
        <w:rPr>
          <w:rFonts w:ascii="Times New Roman" w:eastAsia="Times New Roman" w:hAnsi="Times New Roman" w:cs="Times New Roman"/>
          <w:sz w:val="26"/>
          <w:szCs w:val="26"/>
        </w:rPr>
        <w:t>ачения Сургута в течение 10 суток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верна: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1176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Секретарь судебного заседания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О.П. Куликова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7rplc-8">
    <w:name w:val="cat-UserDefined grp-37 rplc-8"/>
    <w:basedOn w:val="DefaultParagraphFont"/>
  </w:style>
  <w:style w:type="character" w:customStyle="1" w:styleId="cat-UserDefinedgrp-38rplc-16">
    <w:name w:val="cat-UserDefined grp-38 rplc-16"/>
    <w:basedOn w:val="DefaultParagraphFont"/>
  </w:style>
  <w:style w:type="character" w:customStyle="1" w:styleId="cat-UserDefinedgrp-39rplc-19">
    <w:name w:val="cat-UserDefined grp-39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